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Event Edge Master Build Plan</w:t>
      </w:r>
    </w:p>
    <w:p>
      <w:pPr>
        <w:pStyle w:val="Heading2"/>
      </w:pPr>
      <w:r>
        <w:t>Purpose and starting decision</w:t>
      </w:r>
    </w:p>
    <w:p>
      <w:r>
        <w:t>Build a Kalshi-linked sports research and execution platform. Users open an event, inspect sourced team and player research, compare higher probability, estimated value, and sleeper picks, construct supported combos, and define entry and exit rules. The working name is provisional. NFL is the initial assumption; confirm before investing in sport-specific modeling.</w:t>
      </w:r>
    </w:p>
    <w:p>
      <w:pPr>
        <w:pStyle w:val="Heading2"/>
      </w:pPr>
      <w:r>
        <w:t>Version and delivery scope</w:t>
      </w:r>
    </w:p>
    <w:p>
      <w:r>
        <w:t>Version 0.1 • October 1 2026 • Owner Joe • Audience implementation team. The first private release is an interactive paper-mode prototype with explicitly synthetic event data. It does not contain a connected AI research service, authenticated Kalshi trading, or proven predictive probabilities. These are subsequent milestones, not completed capabilities.</w:t>
      </w:r>
    </w:p>
    <w:p>
      <w:pPr>
        <w:pStyle w:val="Heading2"/>
      </w:pPr>
      <w:r>
        <w:t>1 Product foundation</w:t>
      </w:r>
    </w:p>
    <w:p>
      <w:r>
        <w:t>1.1 Define exact market types and settlement rules. Start with team winner markets, then totals and player markets where available. 1.2 Establish the event to research to pick to order flow. 1.3 Track every recommendation, including abstentions, before evaluating results. 1.4 Confirm exchange integration, commercial data use, and user account requirements before public commercial launch.</w:t>
      </w:r>
    </w:p>
    <w:p>
      <w:pPr>
        <w:pStyle w:val="Heading2"/>
      </w:pPr>
      <w:r>
        <w:t>Success criteria</w:t>
      </w:r>
    </w:p>
    <w:p>
      <w:r>
        <w:t>The user can trace every material factual claim to its source and freshness; probabilities are labeled estimates; prices are executable quotes with size; orders never exceed configured limits; paper performance includes fees and conservative fills. A usable research tool is valuable even if a profitable trading edge is not demonstrated.</w:t>
      </w:r>
    </w:p>
    <w:p>
      <w:r>
        <w:br w:type="page"/>
      </w:r>
    </w:p>
    <w:p>
      <w:pPr>
        <w:pStyle w:val="Heading1"/>
      </w:pPr>
      <w:r>
        <w:t>Research That Supports Every Pick</w:t>
      </w:r>
    </w:p>
    <w:p>
      <w:pPr>
        <w:pStyle w:val="Heading2"/>
      </w:pPr>
      <w:r>
        <w:t>2 Source and data foundation</w:t>
      </w:r>
    </w:p>
    <w:p>
      <w:r>
        <w:t>2.1 Connect Kalshi event metadata, market rules, order books and lifecycle updates. Normalize sport, league, game, team and player identities. 2.2 Inventory free and open-source sources first. nflverse is a candidate for historical NFL analysis; its code license does not establish commercial rights to underlying NFL data. 2.3 Evaluate licensed current injury, lineup and live game feeds separately for freshness, storage rights, redistribution and cost. Do not assume a free historical feed provides live coverage.</w:t>
      </w:r>
    </w:p>
    <w:p>
      <w:pPr>
        <w:pStyle w:val="Heading2"/>
      </w:pPr>
      <w:r>
        <w:t>3 Research engine</w:t>
      </w:r>
    </w:p>
    <w:p>
      <w:r>
        <w:t>3.1 Retrieve official injury reports, roster moves, expected starters, practice participation, suspensions and confirmed game availability. Distinguish questionable, doubtful, ruled out and unconfirmed reports without inventing participation probabilities. 3.2 Analyze team strength, recent performance, schedule, rest, travel, venue and weather where relevant. 3.3 Analyze player role, snaps, usage, efficiency, opponent scheme, defensive assignments, likely substitutes and matchup history; flag small samples and changed personnel.</w:t>
      </w:r>
    </w:p>
    <w:p>
      <w:pPr>
        <w:pStyle w:val="Heading2"/>
      </w:pPr>
      <w:r>
        <w:t>Evidence contract</w:t>
      </w:r>
    </w:p>
    <w:p>
      <w:r>
        <w:t>Each claim stores source URL, publisher, publication time, retrieval time, effective game time, entity IDs, supporting excerpt, and confirmation status. Use primary reports where available; corroborate material secondhand news. Record corrections and conflicting claims. Store only content allowed by source terms. Missing information is labeled unknown, not silently filled by an LLM.</w:t>
      </w:r>
    </w:p>
    <w:p>
      <w:pPr>
        <w:pStyle w:val="Heading2"/>
      </w:pPr>
      <w:r>
        <w:t>Research output and refresh</w:t>
      </w:r>
    </w:p>
    <w:p>
      <w:r>
        <w:t>Produce a sourced game brief, player availability table, matchup advantages, scenario analysis, unresolved questions and a change log. Separate verified facts, derived metrics and hypotheses. Refresh before recommendation and on material news; invalidate outdated picks. Enforce provider-specific freshness thresholds. Acceptance: a fixture with an injury update changes the brief and invalidates dependent picks; conflicting news produces an uncertainty warning.</w:t>
      </w:r>
    </w:p>
    <w:p>
      <w:r>
        <w:br w:type="page"/>
      </w:r>
    </w:p>
    <w:p>
      <w:pPr>
        <w:pStyle w:val="Heading1"/>
      </w:pPr>
      <w:r>
        <w:t>Models Picks and Combos</w:t>
      </w:r>
    </w:p>
    <w:p>
      <w:pPr>
        <w:pStyle w:val="Heading2"/>
      </w:pPr>
      <w:r>
        <w:t>4 Probability model</w:t>
      </w:r>
    </w:p>
    <w:p>
      <w:r>
        <w:t>4.1 Establish an independent statistical baseline and a market-price benchmark. Use features available at the prediction timestamp. 4.2 Train on time-ordered data; split by game and season so snapshots of one game cannot leak across splits. 4.3 Compare simple calibrated models before adding complexity. 4.4 Evaluate Brier score, log loss, reliability curves, probability buckets, and uncertainty by market type. Neither accuracy nor Brier score alone proves profitability or calibration. The LLM explains evidence; it does not fabricate measured win probabilities.</w:t>
      </w:r>
    </w:p>
    <w:p>
      <w:pPr>
        <w:pStyle w:val="Heading2"/>
      </w:pPr>
      <w:r>
        <w:t>5 Pick engine</w:t>
      </w:r>
    </w:p>
    <w:p>
      <w:r>
        <w:t>Rank higher probability picks, strongest estimated net value, and speculative sleepers separately. Each pick records model version, research snapshot, probability range, available ask, quote depth, expected fees, maximum entry price, uncertainty and invalidation conditions. Show no qualifying pick when evidence or net value is insufficient. A 10 cent price is a market price implying roughly 10 percent before costs, not proof of a true 10 percent chance.</w:t>
      </w:r>
    </w:p>
    <w:p>
      <w:pPr>
        <w:pStyle w:val="Heading2"/>
      </w:pPr>
      <w:r>
        <w:t>Value calculation</w:t>
      </w:r>
    </w:p>
    <w:p>
      <w:r>
        <w:t>For a contract paying $1 on a win and $0 on a loss, expected hold-to-settlement value per contract equals estimated win probability minus purchase price minus expected transaction costs. Calculate costs under the applicable current fee schedule and rounding. A hypothetical 16 percent estimate at a 10 cent purchase has 6 cents of gross expected value; model uncertainty and costs can eliminate that advantage.</w:t>
      </w:r>
    </w:p>
    <w:p>
      <w:pPr>
        <w:pStyle w:val="Heading2"/>
      </w:pPr>
      <w:r>
        <w:t>6 Combo engine</w:t>
      </w:r>
    </w:p>
    <w:p>
      <w:r>
        <w:t>6.1 Allow research-only construction and expose shared game and player dependencies. 6.2 Estimate joint outcomes through a sport-specific simulation or validated dependence model; never multiply marginal probabilities for correlated legs. 6.3 Resolve eligible multivariate collections and request quotes through the supported RFQ workflow. Handle quote expiry and maker confirmation. A collection of separate positions is not an exchange combo. Validate settlement, liquidity and support per combo before execution.</w:t>
      </w:r>
    </w:p>
    <w:p>
      <w:r>
        <w:br w:type="page"/>
      </w:r>
    </w:p>
    <w:p>
      <w:pPr>
        <w:pStyle w:val="Heading1"/>
      </w:pPr>
      <w:r>
        <w:t>Orders and Paper Trading</w:t>
      </w:r>
    </w:p>
    <w:p>
      <w:pPr>
        <w:pStyle w:val="Heading2"/>
      </w:pPr>
      <w:r>
        <w:t>7 Execution engine</w:t>
      </w:r>
    </w:p>
    <w:p>
      <w:r>
        <w:t>7.1 Implement authenticated account reads and order placement on the server with secret isolation. Pin current Predictions API schemas; do not use Margin or Perps behavior as a substitute. 7.2 Reconcile positions, fills and available balance including exchange shards. 7.3 Use unique client order IDs, durable intents, retries with reconciliation, per-user authorization, price limits and order expiry. An ambiguous response must be reconciled before resubmission.</w:t>
      </w:r>
    </w:p>
    <w:p>
      <w:pPr>
        <w:pStyle w:val="Heading2"/>
      </w:pPr>
      <w:r>
        <w:t>Entry and exit example</w:t>
      </w:r>
    </w:p>
    <w:p>
      <w:r>
        <w:t>User rule: buy up to 100 YES contracts at 10 cents or less, then offer filled contracts for sale at 20 cents. The entry budget is $10 plus fees. A full fill and later full sale at 20 cents produces $10 gross profit before fees. Partial fills create exits only for filled quantities. A touched quote does not establish execution. A 20 cent target is a 100 percent gross gain from a 10 cent entry, not a 20 percent profit.</w:t>
      </w:r>
    </w:p>
    <w:p>
      <w:pPr>
        <w:pStyle w:val="Heading2"/>
      </w:pPr>
      <w:r>
        <w:t>Conditional order behavior</w:t>
      </w:r>
    </w:p>
    <w:p>
      <w:r>
        <w:t>A simple entry may use a resting limit order. Place compatible profit-taking limits only after confirmed fills. More complex time, price or research triggers require a durable application worker unless verified as native exchange functionality. Stop and trailing rules are application managed until native support is confirmed. Market closure, trading pauses, gaps, thin depth and worker outages can prevent exits; show these mechanics in the rule editor.</w:t>
      </w:r>
    </w:p>
    <w:p>
      <w:pPr>
        <w:pStyle w:val="Heading2"/>
      </w:pPr>
      <w:r>
        <w:t>8 Risk and simulator</w:t>
      </w:r>
    </w:p>
    <w:p>
      <w:r>
        <w:t>8.1 User-defined per-trade, per-event, daily loss, total exposure, price and quantity limits; account-level execution switch. 8.2 Fail closed on stale feeds, model errors, market pauses and reconciliation failure. 8.3 Cancel siblings after exit while handling races and open orders. 8.4 Paper simulator consumes timestamped quotes and events; use conservative queue assumptions, spreads, fees, depth and partial fills. Replay duplicate fills, disconnects, process restarts and price gaps. Demo exchange testing and production paper simulation serve different purposes.</w:t>
      </w:r>
    </w:p>
    <w:p>
      <w:r>
        <w:br w:type="page"/>
      </w:r>
    </w:p>
    <w:p>
      <w:pPr>
        <w:pStyle w:val="Heading1"/>
      </w:pPr>
      <w:r>
        <w:t>Implementation and Release Gates</w:t>
      </w:r>
    </w:p>
    <w:p>
      <w:pPr>
        <w:pStyle w:val="Heading2"/>
      </w:pPr>
      <w:r>
        <w:t>9 Architecture and records</w:t>
      </w:r>
    </w:p>
    <w:p>
      <w:r>
        <w:t>Proposed stack: React and TypeScript UI; server-side exchange adapter and research orchestration; Python modeling and evaluation; Postgres durable records; background workers for research and order triggers. The first static prototype intentionally has no secret-bearing backend. Production records: users, accounts, events, markets, entities, source documents, claims, research snapshots, features, models, predictions, picks, combo legs, order intents, orders, fills, risk policies and audit events. Monetary fields use exact decimal arithmetic and current price increments.</w:t>
      </w:r>
    </w:p>
    <w:p>
      <w:pPr>
        <w:pStyle w:val="Heading2"/>
      </w:pPr>
      <w:r>
        <w:t>10 Build sequence</w:t>
      </w:r>
    </w:p>
    <w:p>
      <w:r>
        <w:t>10.1 Private interactive prototype and this plan. 10.2 Read-only Kalshi ingestion and verified event mapping. 10.3 Sourced research engine with availability and matchup views. 10.4 Baseline modeling and historical evaluation. 10.5 Production-data paper engine and forward testing. 10.6 User-confirmed live single-market execution after account access and operational gates. 10.7 Opt-in bounded automation. 10.8 Validated combos and additional sports. External access, data rights and model evidence determine schedule; no profitability or fixed launch date is promised.</w:t>
      </w:r>
    </w:p>
    <w:p>
      <w:pPr>
        <w:pStyle w:val="Heading2"/>
      </w:pPr>
      <w:r>
        <w:t>Release gates</w:t>
      </w:r>
    </w:p>
    <w:p>
      <w:r>
        <w:t>Research gate: every decisive claim has provenance, required coverage and acceptable freshness. Model gate: predeclared out-of-time evaluation and probability-bucket checks with uncertainty; keep edge claims provisional until forward evidence supports them. Execution gate: duplicate-submit prevention, partial-fill correctness, restart reconciliation, stale-data refusal and kill-switch tests pass. Commercial gate: confirm data and exchange permissions, applicable obligations and cost viability before selling access. Passing software tests does not prove a profitable model.</w:t>
      </w:r>
    </w:p>
    <w:p>
      <w:pPr>
        <w:pStyle w:val="Heading2"/>
      </w:pPr>
      <w:r>
        <w:t>11 Business validation</w:t>
      </w:r>
    </w:p>
    <w:p>
      <w:r>
        <w:t>Interview prospective users about research, alerts, price rules and portfolio tools. Test willingness to pay for research independently of profitable-pick claims. Measure cost per research brief, retention, research freshness, user corrections and paper outcomes. Cache permitted shared event research; keep account data isolated. Set an approved infrastructure, data and model-call budget before subscriptions. The next implementation ticket is read-only event ingestion and entity mapping, followed by a real sourced research brief.</w:t>
      </w:r>
    </w:p>
    <w:p>
      <w:r>
        <w:br w:type="page"/>
      </w:r>
    </w:p>
    <w:p>
      <w:pPr>
        <w:pStyle w:val="Heading1"/>
      </w:pPr>
      <w:r>
        <w:t>Source Notes and Open Decisions</w:t>
      </w:r>
    </w:p>
    <w:p>
      <w:pPr>
        <w:pStyle w:val="Heading2"/>
      </w:pPr>
      <w:r>
        <w:t>Verified API foundation</w:t>
      </w:r>
    </w:p>
    <w:p>
      <w:r>
        <w:t>Kalshi documents public market-data REST access and authenticated WebSocket sessions with order-book and lifecycle streams. RFQ documentation describes combo markets and accept then confirm execution. Exchange sharding requires balance awareness. Endpoint behavior and permissions must be checked again when implementation begins.</w:t>
      </w:r>
    </w:p>
    <w:p>
      <w:pPr>
        <w:pStyle w:val="Heading2"/>
      </w:pPr>
      <w:r>
        <w:t>Primary references</w:t>
      </w:r>
    </w:p>
    <w:p>
      <w:r>
        <w:t>Kalshi Market Data: https://docs.kalshi.com/getting_started/quick_start_market_data</w:t>
        <w:br/>
        <w:t>Kalshi WebSockets: https://docs.kalshi.com/getting_started/quick_start_websockets</w:t>
        <w:br/>
        <w:t>Kalshi RFQs: https://docs.kalshi.com/getting_started/rfqs</w:t>
        <w:br/>
        <w:t>Multivariate market creation: https://docs.kalshi.com/api-reference/multivariate/create-market-in-multivariate-event-collection</w:t>
        <w:br/>
        <w:t>Exchange sharding: https://docs.kalshi.com/getting_started/exchange_sharding</w:t>
        <w:br/>
        <w:t>API changes: https://docs.kalshi.com/changelog</w:t>
      </w:r>
    </w:p>
    <w:p>
      <w:pPr>
        <w:pStyle w:val="Heading2"/>
      </w:pPr>
      <w:r>
        <w:t>Open source research candidates</w:t>
      </w:r>
    </w:p>
    <w:p>
      <w:r>
        <w:t>nflverse: https://nflverse.nflverse.com/ — historical NFL tooling candidate; confirm dataset rights and current update schedules.</w:t>
        <w:br/>
        <w:t>Probability calibration: https://scikit-learn.org/stable/modules/calibration.html — evaluation guidance, not proof of a trading edge.</w:t>
      </w:r>
    </w:p>
    <w:p>
      <w:pPr>
        <w:pStyle w:val="Heading2"/>
      </w:pPr>
      <w:r>
        <w:t>Decisions to resolve before live integration</w:t>
      </w:r>
    </w:p>
    <w:p>
      <w:r>
        <w:t>Choose final brand and first sport. Confirm account connection mechanism and allowed integration model with Kalshi. Choose reliable current sports feeds and approved budget. Define freshness, evidence coverage and risk defaults with the owner. Confirm supported market and combo types. Real-money access is a separate implementation and authorization step; creating this prototype does not place orders.</w:t>
      </w:r>
    </w:p>
    <w:sectPr w:rsidR="00FC693F" w:rsidRPr="0006063C" w:rsidSect="00034616">
      <w:footerReference w:type="default" r:id="rId9"/>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EVENT EDGE  •  MASTER BUILD PLAN  •  VERSION 0.1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